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5 – Language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Creole language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Dialect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Indo-European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Isogloss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Language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Language branch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Language family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Language group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Lingua franca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Multilingual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Official language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bookmarkStart w:colFirst="0" w:colLast="0" w:name="_kk0cmkmfu67" w:id="0"/>
      <w:bookmarkEnd w:id="0"/>
      <w:r w:rsidDel="00000000" w:rsidR="00000000" w:rsidRPr="00000000">
        <w:rPr>
          <w:rtl w:val="0"/>
        </w:rPr>
        <w:t xml:space="preserve">Pidgin language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Sino-Tibetan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8220"/>
        <w:tblGridChange w:id="0">
          <w:tblGrid>
            <w:gridCol w:w="1140"/>
            <w:gridCol w:w="8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146-151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migration relates to the contemporary distribution of languages.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difference between institutional and official languages.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differences between language families, branches, and groups.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figure 5-3 to identify multiple examples of larger language families (trunks), branches (branches), groups (branches), and languages (leaves).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figure 5-6 to identify countries/regions where the largest language families (especially Indo-European and Sino-Tibetan) are distributed.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figure 5-6 to identify countries/regions where the most commonly used languages are distributed.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154-156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distribution patterns of the four widely-spoken branches of the Indo-European language family (Germanic, Romance, Indo-Iranian, Balto-Slavic).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origin of the Romance languages, and explain how they diffused.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the English diffused throughout the world.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160-163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lingua franca, and explain why English has become the largest lingua franca in the world.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difference between a lingua franca and a pidgin language.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other modern lingua francas besides English.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role the Internet has played in increasing the dominance of English.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Outline reasons for and against adopting an official language within a country.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164-167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dialect and explain why the English language has a large number of dialects.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the English language in the U.S. and England aren’t the same, noting differences in vocabulary, spelling, and pronunciation.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isogloss and identify examples.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the mass media (TV, Internet, radio) can affect regional dialects.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creole language and list several examples.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170-171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strategies that promote peaceful coexistence in multilingual countries, using the examples listed below: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Switzerland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Canada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Nigeria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Belgium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172-175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policies/strategies used to deal with endangered languages in Australia, New Zealand, and North America.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policies/strategies used to preserve the following languages: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Welsh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Cornish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Irish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