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Know and Be Able To (KBAT)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Chapter 14 - Bureaucracy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ESSENTIAL QUESTION: </w:t>
      </w:r>
      <w:r w:rsidDel="00000000" w:rsidR="00000000" w:rsidRPr="00000000">
        <w:rPr>
          <w:rtl w:val="0"/>
        </w:rPr>
        <w:t xml:space="preserve">How does the executive branch administer the machinery of government and provide services to American citizens?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Bureaucracy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Cabinet Department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Government Corporation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Government in the Sunshine 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Independent Executive Agency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Independent Regulatory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Iron Triangle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Issue Network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Merit System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Pendleton 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Privatization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Spoils System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Sunset Legislation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Whistle-Blower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Red Tape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Regulation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Deregulation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Patronage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bookmarkStart w:colFirst="0" w:colLast="0" w:name="_6g9lj531zdu7" w:id="0"/>
      <w:bookmarkEnd w:id="0"/>
      <w:r w:rsidDel="00000000" w:rsidR="00000000" w:rsidRPr="00000000">
        <w:rPr>
          <w:rtl w:val="0"/>
        </w:rPr>
        <w:t xml:space="preserve">Describe the federal bureaucrats and the ways in which they obtain their jobs.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koqh84g5yx0o" w:id="1"/>
      <w:bookmarkEnd w:id="1"/>
      <w:r w:rsidDel="00000000" w:rsidR="00000000" w:rsidRPr="00000000">
        <w:rPr>
          <w:rtl w:val="0"/>
        </w:rPr>
        <w:t xml:space="preserve">Differentiate the four types of agencies into which the federal bureaucracy is organized.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brfq7pla3psw" w:id="2"/>
      <w:bookmarkEnd w:id="2"/>
      <w:r w:rsidDel="00000000" w:rsidR="00000000" w:rsidRPr="00000000">
        <w:rPr>
          <w:rtl w:val="0"/>
        </w:rPr>
        <w:t xml:space="preserve">Identify the factors that influence the effectiveness of bureaucratic implementation of public policy.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1nbndzk8sxb1" w:id="3"/>
      <w:bookmarkEnd w:id="3"/>
      <w:r w:rsidDel="00000000" w:rsidR="00000000" w:rsidRPr="00000000">
        <w:rPr>
          <w:rtl w:val="0"/>
        </w:rPr>
        <w:t xml:space="preserve">Describe how bureaucracies regulate, and assess deregulation and alternative approaches to regulation.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x5uzuxyuf4pe" w:id="4"/>
      <w:bookmarkEnd w:id="4"/>
      <w:r w:rsidDel="00000000" w:rsidR="00000000" w:rsidRPr="00000000">
        <w:rPr>
          <w:rtl w:val="0"/>
        </w:rPr>
        <w:t xml:space="preserve">Identify the means of controlling the bureaucracy and asses the role of iron triangles.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CASE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